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0DB" w:rsidRPr="00FC7D81" w:rsidRDefault="00B430DB" w:rsidP="00B430DB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kern w:val="36"/>
          <w:sz w:val="48"/>
          <w:szCs w:val="48"/>
        </w:rPr>
      </w:pPr>
    </w:p>
    <w:p w:rsidR="00B430DB" w:rsidRPr="00FC7D81" w:rsidRDefault="00B430DB" w:rsidP="00B430DB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kern w:val="36"/>
          <w:sz w:val="144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144"/>
          <w:szCs w:val="48"/>
        </w:rPr>
        <w:t>FACULTY HANDBOOK</w:t>
      </w:r>
    </w:p>
    <w:p w:rsidR="00FC7D81" w:rsidRPr="00B430DB" w:rsidRDefault="00FC7D81" w:rsidP="00B430DB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kern w:val="36"/>
          <w:sz w:val="160"/>
          <w:szCs w:val="48"/>
        </w:rPr>
      </w:pPr>
      <w:r>
        <w:rPr>
          <w:rFonts w:eastAsia="Times New Roman" w:cstheme="minorHAnsi"/>
          <w:b/>
          <w:bCs/>
          <w:noProof/>
          <w:kern w:val="36"/>
          <w:sz w:val="160"/>
          <w:szCs w:val="48"/>
        </w:rPr>
        <w:drawing>
          <wp:inline distT="0" distB="0" distL="0" distR="0">
            <wp:extent cx="2838450" cy="2838450"/>
            <wp:effectExtent l="19050" t="0" r="0" b="0"/>
            <wp:docPr id="1" name="Picture 0" descr="301769689_110343778473207_5879331373539291517_n-removebg-previ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1769689_110343778473207_5879331373539291517_n-removebg-preview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46019" cy="2846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30DB" w:rsidRPr="00B430DB" w:rsidRDefault="00B430DB" w:rsidP="00B430DB">
      <w:pPr>
        <w:spacing w:before="100" w:beforeAutospacing="1" w:after="100" w:afterAutospacing="1" w:line="240" w:lineRule="auto"/>
        <w:jc w:val="center"/>
        <w:outlineLvl w:val="1"/>
        <w:rPr>
          <w:rFonts w:eastAsia="Times New Roman" w:cstheme="minorHAnsi"/>
          <w:b/>
          <w:bCs/>
          <w:sz w:val="72"/>
          <w:szCs w:val="36"/>
        </w:rPr>
      </w:pPr>
      <w:r w:rsidRPr="00B430DB">
        <w:rPr>
          <w:rFonts w:eastAsia="Times New Roman" w:cstheme="minorHAnsi"/>
          <w:b/>
          <w:bCs/>
          <w:sz w:val="72"/>
          <w:szCs w:val="36"/>
        </w:rPr>
        <w:t>Academy of Technocrats</w:t>
      </w:r>
    </w:p>
    <w:p w:rsidR="00B430DB" w:rsidRPr="00B430DB" w:rsidRDefault="00B430DB" w:rsidP="00B430DB">
      <w:pPr>
        <w:spacing w:before="100" w:beforeAutospacing="1" w:after="100" w:afterAutospacing="1" w:line="240" w:lineRule="auto"/>
        <w:jc w:val="center"/>
        <w:rPr>
          <w:rFonts w:eastAsia="Times New Roman" w:cstheme="minorHAnsi"/>
          <w:sz w:val="48"/>
          <w:szCs w:val="24"/>
        </w:rPr>
      </w:pPr>
      <w:proofErr w:type="spellStart"/>
      <w:r w:rsidRPr="00B430DB">
        <w:rPr>
          <w:rFonts w:eastAsia="Times New Roman" w:cstheme="minorHAnsi"/>
          <w:sz w:val="48"/>
          <w:szCs w:val="24"/>
        </w:rPr>
        <w:t>Berhampur</w:t>
      </w:r>
      <w:proofErr w:type="spellEnd"/>
      <w:r w:rsidRPr="00B430DB">
        <w:rPr>
          <w:rFonts w:eastAsia="Times New Roman" w:cstheme="minorHAnsi"/>
          <w:sz w:val="48"/>
          <w:szCs w:val="24"/>
        </w:rPr>
        <w:t xml:space="preserve">, </w:t>
      </w:r>
      <w:proofErr w:type="spellStart"/>
      <w:r w:rsidRPr="00B430DB">
        <w:rPr>
          <w:rFonts w:eastAsia="Times New Roman" w:cstheme="minorHAnsi"/>
          <w:sz w:val="48"/>
          <w:szCs w:val="24"/>
        </w:rPr>
        <w:t>Odisha</w:t>
      </w:r>
      <w:proofErr w:type="spellEnd"/>
    </w:p>
    <w:p w:rsidR="00B430DB" w:rsidRPr="00B430DB" w:rsidRDefault="00B430DB" w:rsidP="00B430DB">
      <w:pPr>
        <w:spacing w:after="0" w:line="240" w:lineRule="auto"/>
        <w:rPr>
          <w:rFonts w:eastAsia="Times New Roman" w:cstheme="minorHAnsi"/>
          <w:sz w:val="48"/>
          <w:szCs w:val="24"/>
        </w:rPr>
      </w:pPr>
    </w:p>
    <w:p w:rsidR="00B430DB" w:rsidRPr="00FC7D81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48"/>
          <w:szCs w:val="48"/>
        </w:rPr>
      </w:pPr>
    </w:p>
    <w:p w:rsidR="00B430DB" w:rsidRPr="00FC7D81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48"/>
          <w:szCs w:val="48"/>
        </w:rPr>
      </w:pPr>
    </w:p>
    <w:p w:rsidR="00B430DB" w:rsidRPr="00FC7D81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48"/>
          <w:szCs w:val="48"/>
        </w:rPr>
      </w:pPr>
    </w:p>
    <w:p w:rsidR="00B430DB" w:rsidRPr="00FC7D81" w:rsidRDefault="00B430DB" w:rsidP="00B430DB">
      <w:pPr>
        <w:pStyle w:val="ListParagraph"/>
        <w:numPr>
          <w:ilvl w:val="0"/>
          <w:numId w:val="13"/>
        </w:num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72"/>
          <w:szCs w:val="48"/>
        </w:rPr>
      </w:pPr>
      <w:r w:rsidRPr="00FC7D81">
        <w:rPr>
          <w:rFonts w:eastAsia="Times New Roman" w:cstheme="minorHAnsi"/>
          <w:b/>
          <w:bCs/>
          <w:kern w:val="36"/>
          <w:sz w:val="72"/>
          <w:szCs w:val="48"/>
        </w:rPr>
        <w:t>Preface</w:t>
      </w:r>
    </w:p>
    <w:p w:rsidR="00B430DB" w:rsidRPr="00FC7D81" w:rsidRDefault="00B430DB" w:rsidP="00B430DB">
      <w:pPr>
        <w:pStyle w:val="ListParagraph"/>
        <w:spacing w:before="100" w:beforeAutospacing="1" w:after="100" w:afterAutospacing="1" w:line="240" w:lineRule="auto"/>
        <w:ind w:left="825"/>
        <w:outlineLvl w:val="0"/>
        <w:rPr>
          <w:rFonts w:eastAsia="Times New Roman" w:cstheme="minorHAnsi"/>
          <w:b/>
          <w:bCs/>
          <w:kern w:val="36"/>
          <w:sz w:val="48"/>
          <w:szCs w:val="48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36"/>
          <w:szCs w:val="24"/>
        </w:rPr>
      </w:pPr>
      <w:r w:rsidRPr="00B430DB">
        <w:rPr>
          <w:rFonts w:eastAsia="Times New Roman" w:cstheme="minorHAnsi"/>
          <w:sz w:val="36"/>
          <w:szCs w:val="24"/>
        </w:rPr>
        <w:t>The Faculty Handbook of the Academy of Technocrats is designed to provide clear guidelines regarding academic responsibilities, institutional policies, professional conduct, and administrative procedures.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36"/>
          <w:szCs w:val="24"/>
        </w:rPr>
      </w:pPr>
      <w:r w:rsidRPr="00B430DB">
        <w:rPr>
          <w:rFonts w:eastAsia="Times New Roman" w:cstheme="minorHAnsi"/>
          <w:sz w:val="36"/>
          <w:szCs w:val="24"/>
        </w:rPr>
        <w:t>This handbook aims to support faculty members in maintaining high standards of teaching, research, and professional ethics while contributing to the overall development of the institution and its students.</w:t>
      </w:r>
    </w:p>
    <w:p w:rsidR="00B430DB" w:rsidRPr="00B430DB" w:rsidRDefault="00B430DB" w:rsidP="00B430DB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B430DB" w:rsidRPr="00FC7D81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48"/>
          <w:szCs w:val="48"/>
        </w:rPr>
      </w:pPr>
    </w:p>
    <w:p w:rsidR="00B430DB" w:rsidRPr="00FC7D81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48"/>
          <w:szCs w:val="48"/>
        </w:rPr>
      </w:pPr>
    </w:p>
    <w:p w:rsidR="00B430DB" w:rsidRPr="00FC7D81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48"/>
          <w:szCs w:val="48"/>
        </w:rPr>
      </w:pPr>
    </w:p>
    <w:p w:rsidR="00B430DB" w:rsidRPr="00FC7D81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48"/>
          <w:szCs w:val="48"/>
        </w:rPr>
      </w:pPr>
    </w:p>
    <w:p w:rsidR="00B430DB" w:rsidRPr="00FC7D81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48"/>
          <w:szCs w:val="48"/>
        </w:rPr>
      </w:pPr>
    </w:p>
    <w:p w:rsidR="00B430DB" w:rsidRPr="00FC7D81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48"/>
          <w:szCs w:val="48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 xml:space="preserve">2. </w:t>
      </w:r>
      <w:proofErr w:type="gramStart"/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About</w:t>
      </w:r>
      <w:proofErr w:type="gramEnd"/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 xml:space="preserve"> the Institution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Academy of Technocrats is a premier institution committed to providing quality education in the fields of management and information technology. The institute focuses on academic excellence, innovation, and professional development.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The institution strives to create a dynamic learning environment that encourages intellectual growth, ethical values, and social responsibility among students and faculty.</w:t>
      </w:r>
    </w:p>
    <w:p w:rsidR="00B430DB" w:rsidRPr="00B430DB" w:rsidRDefault="00B430DB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3. Vision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To become a center of excellence in professional and technical education that nurtures innovation, leadership, and ethical values.</w:t>
      </w:r>
    </w:p>
    <w:p w:rsidR="00B430DB" w:rsidRPr="00B430DB" w:rsidRDefault="00B430DB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4. Mission</w:t>
      </w:r>
    </w:p>
    <w:p w:rsidR="00B430DB" w:rsidRPr="00B430DB" w:rsidRDefault="00B430DB" w:rsidP="00B430D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To provide high-quality education in management and computer applications.</w:t>
      </w:r>
    </w:p>
    <w:p w:rsidR="00B430DB" w:rsidRPr="00B430DB" w:rsidRDefault="00B430DB" w:rsidP="00B430D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To promote research, innovation, and professional development.</w:t>
      </w:r>
    </w:p>
    <w:p w:rsidR="00B430DB" w:rsidRPr="00B430DB" w:rsidRDefault="00B430DB" w:rsidP="00B430D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To prepare students for global career opportunities.</w:t>
      </w:r>
    </w:p>
    <w:p w:rsidR="00B430DB" w:rsidRPr="00B430DB" w:rsidRDefault="00B430DB" w:rsidP="00B430D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To develop socially responsible and ethical professionals.</w:t>
      </w:r>
    </w:p>
    <w:p w:rsidR="00B430DB" w:rsidRPr="00B430DB" w:rsidRDefault="00B430DB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B430DB" w:rsidRPr="00FC7D81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</w:p>
    <w:p w:rsidR="00B430DB" w:rsidRPr="00FC7D81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</w:p>
    <w:p w:rsidR="00B430DB" w:rsidRPr="00FC7D81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5. Core Values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The institution upholds the following core values:</w:t>
      </w:r>
    </w:p>
    <w:p w:rsidR="00B430DB" w:rsidRPr="00B430DB" w:rsidRDefault="00B430DB" w:rsidP="00B430D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Academic Excellence</w:t>
      </w:r>
    </w:p>
    <w:p w:rsidR="00B430DB" w:rsidRPr="00B430DB" w:rsidRDefault="00B430DB" w:rsidP="00B430D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Integrity and Ethics</w:t>
      </w:r>
    </w:p>
    <w:p w:rsidR="00B430DB" w:rsidRPr="00B430DB" w:rsidRDefault="00B430DB" w:rsidP="00B430D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Innovation and Creativity</w:t>
      </w:r>
    </w:p>
    <w:p w:rsidR="00B430DB" w:rsidRPr="00B430DB" w:rsidRDefault="00B430DB" w:rsidP="00B430D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Inclusiveness and Diversity</w:t>
      </w:r>
    </w:p>
    <w:p w:rsidR="00B430DB" w:rsidRPr="00B430DB" w:rsidRDefault="00B430DB" w:rsidP="00B430D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Professional Responsibility</w:t>
      </w:r>
    </w:p>
    <w:p w:rsidR="00B430DB" w:rsidRPr="00B430DB" w:rsidRDefault="00B430DB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6. Organizational Structure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The governance structure of the institution includes:</w:t>
      </w:r>
    </w:p>
    <w:p w:rsidR="00B430DB" w:rsidRPr="00B430DB" w:rsidRDefault="00B430DB" w:rsidP="00B430D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Governing Body</w:t>
      </w:r>
    </w:p>
    <w:p w:rsidR="00B430DB" w:rsidRPr="00B430DB" w:rsidRDefault="00B430DB" w:rsidP="00B430D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Director / Chairman</w:t>
      </w:r>
    </w:p>
    <w:p w:rsidR="00B430DB" w:rsidRPr="00B430DB" w:rsidRDefault="00B430DB" w:rsidP="00B430D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Principal</w:t>
      </w:r>
    </w:p>
    <w:p w:rsidR="00B430DB" w:rsidRPr="00B430DB" w:rsidRDefault="00B430DB" w:rsidP="00B430D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Vice Principal</w:t>
      </w:r>
    </w:p>
    <w:p w:rsidR="00B430DB" w:rsidRPr="00B430DB" w:rsidRDefault="00B430DB" w:rsidP="00B430D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Heads of Departments</w:t>
      </w:r>
    </w:p>
    <w:p w:rsidR="00B430DB" w:rsidRPr="00B430DB" w:rsidRDefault="00B430DB" w:rsidP="00B430D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Faculty Members</w:t>
      </w:r>
    </w:p>
    <w:p w:rsidR="00B430DB" w:rsidRPr="00B430DB" w:rsidRDefault="00B430DB" w:rsidP="00B430D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Administrative and Support Staff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Each department operates under the guidance of the Principal and institutional policies.</w:t>
      </w:r>
    </w:p>
    <w:p w:rsidR="00B430DB" w:rsidRPr="00B430DB" w:rsidRDefault="00B430DB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B430DB" w:rsidRPr="00FC7D81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</w:p>
    <w:p w:rsidR="00B430DB" w:rsidRPr="00FC7D81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</w:p>
    <w:p w:rsidR="00B430DB" w:rsidRPr="00FC7D81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7. Faculty Recruitment and Appointment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Faculty members are recruited based on qualifications prescribed by regulatory bodies and the affiliating university.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Appointments are made through a transparent selection process involving interviews and evaluation of academic credentials, teaching ability, and research potential.</w:t>
      </w:r>
    </w:p>
    <w:p w:rsidR="00B430DB" w:rsidRPr="00B430DB" w:rsidRDefault="00B430DB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8. Roles and Responsibilities of Faculty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Faculty members are expected to:</w:t>
      </w:r>
    </w:p>
    <w:p w:rsidR="00B430DB" w:rsidRPr="00B430DB" w:rsidRDefault="00B430DB" w:rsidP="00B430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Deliver high-quality classroom teaching and practical sessions.</w:t>
      </w:r>
    </w:p>
    <w:p w:rsidR="00B430DB" w:rsidRPr="00B430DB" w:rsidRDefault="00B430DB" w:rsidP="00B430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Prepare lesson plans and teaching materials.</w:t>
      </w:r>
    </w:p>
    <w:p w:rsidR="00B430DB" w:rsidRPr="00B430DB" w:rsidRDefault="00B430DB" w:rsidP="00B430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Conduct continuous assessment of students.</w:t>
      </w:r>
    </w:p>
    <w:p w:rsidR="00B430DB" w:rsidRPr="00B430DB" w:rsidRDefault="00B430DB" w:rsidP="00B430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Guide students in academic and research activities.</w:t>
      </w:r>
    </w:p>
    <w:p w:rsidR="00B430DB" w:rsidRPr="00B430DB" w:rsidRDefault="00B430DB" w:rsidP="00B430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Participate in departmental and institutional committees.</w:t>
      </w:r>
    </w:p>
    <w:p w:rsidR="00B430DB" w:rsidRPr="00B430DB" w:rsidRDefault="00B430DB" w:rsidP="00B430D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Contribute to curriculum development and academic planning.</w:t>
      </w:r>
    </w:p>
    <w:p w:rsidR="00B430DB" w:rsidRPr="00B430DB" w:rsidRDefault="00B430DB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9. Academic Responsibilities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Faculty members are responsible for:</w:t>
      </w:r>
    </w:p>
    <w:p w:rsidR="00B430DB" w:rsidRPr="00B430DB" w:rsidRDefault="00B430DB" w:rsidP="00B430D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Completing the syllabus within the academic schedule.</w:t>
      </w:r>
    </w:p>
    <w:p w:rsidR="00B430DB" w:rsidRPr="00B430DB" w:rsidRDefault="00B430DB" w:rsidP="00B430D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Maintaining attendance records.</w:t>
      </w:r>
    </w:p>
    <w:p w:rsidR="00B430DB" w:rsidRPr="00B430DB" w:rsidRDefault="00B430DB" w:rsidP="00B430D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Conducting assignments, tests, and internal examinations.</w:t>
      </w:r>
    </w:p>
    <w:p w:rsidR="00B430DB" w:rsidRPr="00B430DB" w:rsidRDefault="00B430DB" w:rsidP="00B430D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Submitting academic reports and results on time.</w:t>
      </w:r>
    </w:p>
    <w:p w:rsidR="00B430DB" w:rsidRPr="00B430DB" w:rsidRDefault="00B430DB" w:rsidP="00B430D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Participating in academic meetings and review sessions.</w:t>
      </w:r>
    </w:p>
    <w:p w:rsidR="00B430DB" w:rsidRPr="00FC7D81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10. Teaching Workload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Teaching workload includes:</w:t>
      </w:r>
    </w:p>
    <w:p w:rsidR="00B430DB" w:rsidRPr="00B430DB" w:rsidRDefault="00B430DB" w:rsidP="00B430D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Classroom teaching</w:t>
      </w:r>
    </w:p>
    <w:p w:rsidR="00B430DB" w:rsidRPr="00B430DB" w:rsidRDefault="00B430DB" w:rsidP="00B430D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Laboratory or practical sessions</w:t>
      </w:r>
    </w:p>
    <w:p w:rsidR="00B430DB" w:rsidRPr="00B430DB" w:rsidRDefault="00B430DB" w:rsidP="00B430D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Student mentoring</w:t>
      </w:r>
    </w:p>
    <w:p w:rsidR="00B430DB" w:rsidRPr="00B430DB" w:rsidRDefault="00B430DB" w:rsidP="00B430D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Project supervision</w:t>
      </w:r>
    </w:p>
    <w:p w:rsidR="00B430DB" w:rsidRPr="00B430DB" w:rsidRDefault="00B430DB" w:rsidP="00B430D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Examination duties</w:t>
      </w:r>
    </w:p>
    <w:p w:rsidR="00B430DB" w:rsidRPr="00B430DB" w:rsidRDefault="00B430DB" w:rsidP="00B430D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Participation in institutional activities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Workload distribution follows institutional and university guidelines.</w:t>
      </w:r>
    </w:p>
    <w:p w:rsidR="00B430DB" w:rsidRPr="00B430DB" w:rsidRDefault="00B430DB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11. Research and Professional Development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Faculty members are encouraged to engage in:</w:t>
      </w:r>
    </w:p>
    <w:p w:rsidR="00B430DB" w:rsidRPr="00B430DB" w:rsidRDefault="00B430DB" w:rsidP="00B430D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Research publications in reputed journals</w:t>
      </w:r>
    </w:p>
    <w:p w:rsidR="00B430DB" w:rsidRPr="00B430DB" w:rsidRDefault="00B430DB" w:rsidP="00B430D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Participation in conferences and seminars</w:t>
      </w:r>
    </w:p>
    <w:p w:rsidR="00B430DB" w:rsidRPr="00B430DB" w:rsidRDefault="00B430DB" w:rsidP="00B430D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Faculty Development Programs (FDPs)</w:t>
      </w:r>
    </w:p>
    <w:p w:rsidR="00B430DB" w:rsidRPr="00B430DB" w:rsidRDefault="00B430DB" w:rsidP="00B430D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Research projects and consultancy activities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The institution supports professional growth through training and academic collaborations.</w:t>
      </w:r>
    </w:p>
    <w:p w:rsidR="00B430DB" w:rsidRDefault="00B430DB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FC7D81" w:rsidRDefault="00FC7D81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FC7D81" w:rsidRDefault="00FC7D81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FC7D81" w:rsidRDefault="00FC7D81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FC7D81" w:rsidRDefault="00FC7D81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FC7D81" w:rsidRPr="00B430DB" w:rsidRDefault="00FC7D81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FC7D81" w:rsidRDefault="00FC7D81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12. Student Mentoring and Support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Faculty members act as mentors to guide students in:</w:t>
      </w:r>
    </w:p>
    <w:p w:rsidR="00B430DB" w:rsidRPr="00B430DB" w:rsidRDefault="00B430DB" w:rsidP="00B430D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Academic performance</w:t>
      </w:r>
    </w:p>
    <w:p w:rsidR="00B430DB" w:rsidRPr="00B430DB" w:rsidRDefault="00B430DB" w:rsidP="00B430D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Career planning</w:t>
      </w:r>
    </w:p>
    <w:p w:rsidR="00B430DB" w:rsidRPr="00B430DB" w:rsidRDefault="00B430DB" w:rsidP="00B430D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Personal development</w:t>
      </w:r>
    </w:p>
    <w:p w:rsidR="00B430DB" w:rsidRPr="00B430DB" w:rsidRDefault="00B430DB" w:rsidP="00B430D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Participation in co-curricular and extracurricular activities</w:t>
      </w:r>
    </w:p>
    <w:p w:rsidR="00B430DB" w:rsidRPr="00B430DB" w:rsidRDefault="00B430DB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13. Code of Conduct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Faculty members must adhere to the following professional standards:</w:t>
      </w:r>
    </w:p>
    <w:p w:rsidR="00B430DB" w:rsidRPr="00B430DB" w:rsidRDefault="00B430DB" w:rsidP="00B430D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Maintain academic integrity and transparency.</w:t>
      </w:r>
    </w:p>
    <w:p w:rsidR="00B430DB" w:rsidRPr="00B430DB" w:rsidRDefault="00B430DB" w:rsidP="00B430D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Treat students and colleagues with respect and fairness.</w:t>
      </w:r>
    </w:p>
    <w:p w:rsidR="00B430DB" w:rsidRPr="00B430DB" w:rsidRDefault="00B430DB" w:rsidP="00B430D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Maintain confidentiality of institutional information.</w:t>
      </w:r>
    </w:p>
    <w:p w:rsidR="00B430DB" w:rsidRPr="00B430DB" w:rsidRDefault="00B430DB" w:rsidP="00B430D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Avoid discrimination or harassment.</w:t>
      </w:r>
    </w:p>
    <w:p w:rsidR="00B430DB" w:rsidRPr="00B430DB" w:rsidRDefault="00B430DB" w:rsidP="00B430D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Follow institutional rules and professional ethics.</w:t>
      </w:r>
    </w:p>
    <w:p w:rsidR="00B430DB" w:rsidRPr="00B430DB" w:rsidRDefault="00B430DB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14. Attendance and Working Hours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Faculty members must maintain punctuality and adhere to the working hours prescribed by the institution.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Attendance records must be maintained regularly and faculty should be available for academic and administrative duties during working hours.</w:t>
      </w:r>
    </w:p>
    <w:p w:rsidR="00B430DB" w:rsidRPr="00B430DB" w:rsidRDefault="00B430DB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FC7D81" w:rsidRDefault="00FC7D81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15. Leave Policy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Faculty members may avail leave as per institutional rules:</w:t>
      </w:r>
    </w:p>
    <w:p w:rsidR="00B430DB" w:rsidRPr="00B430DB" w:rsidRDefault="00B430DB" w:rsidP="00B430D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Casual Leave</w:t>
      </w:r>
    </w:p>
    <w:p w:rsidR="00B430DB" w:rsidRPr="00B430DB" w:rsidRDefault="00B430DB" w:rsidP="00B430D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Medical Leave</w:t>
      </w:r>
    </w:p>
    <w:p w:rsidR="00B430DB" w:rsidRPr="00B430DB" w:rsidRDefault="00B430DB" w:rsidP="00B430D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Earned Leave</w:t>
      </w:r>
    </w:p>
    <w:p w:rsidR="00B430DB" w:rsidRPr="00B430DB" w:rsidRDefault="00B430DB" w:rsidP="00B430D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Academic Leave for conferences and training programs</w:t>
      </w:r>
    </w:p>
    <w:p w:rsidR="00B430DB" w:rsidRPr="00FC7D81" w:rsidRDefault="00B430DB" w:rsidP="00FC7D81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All leave must be approved by the competent authority.</w:t>
      </w: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16. Performance Evaluation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Faculty performance is reviewed periodically based on:</w:t>
      </w:r>
    </w:p>
    <w:p w:rsidR="00B430DB" w:rsidRPr="00B430DB" w:rsidRDefault="00B430DB" w:rsidP="00B430D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Teaching effectiveness</w:t>
      </w:r>
    </w:p>
    <w:p w:rsidR="00B430DB" w:rsidRPr="00B430DB" w:rsidRDefault="00B430DB" w:rsidP="00B430D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Student feedback</w:t>
      </w:r>
    </w:p>
    <w:p w:rsidR="00B430DB" w:rsidRPr="00B430DB" w:rsidRDefault="00B430DB" w:rsidP="00B430D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Research publications</w:t>
      </w:r>
    </w:p>
    <w:p w:rsidR="00B430DB" w:rsidRPr="00B430DB" w:rsidRDefault="00B430DB" w:rsidP="00B430D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Institutional contributions</w:t>
      </w:r>
    </w:p>
    <w:p w:rsidR="00B430DB" w:rsidRPr="00B430DB" w:rsidRDefault="00B430DB" w:rsidP="00FC7D8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Participation in academic and professional activities</w:t>
      </w: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17. Institutional Committees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Faculty members may serve on various committees such as:</w:t>
      </w:r>
    </w:p>
    <w:p w:rsidR="00B430DB" w:rsidRPr="00B430DB" w:rsidRDefault="00B430DB" w:rsidP="00B430D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Academic Committee</w:t>
      </w:r>
    </w:p>
    <w:p w:rsidR="00B430DB" w:rsidRPr="00B430DB" w:rsidRDefault="00B430DB" w:rsidP="00B430D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Examination Committee</w:t>
      </w:r>
    </w:p>
    <w:p w:rsidR="00B430DB" w:rsidRPr="00B430DB" w:rsidRDefault="00B430DB" w:rsidP="00B430D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Cultural and Sports Committee</w:t>
      </w:r>
    </w:p>
    <w:p w:rsidR="00B430DB" w:rsidRPr="00B430DB" w:rsidRDefault="00B430DB" w:rsidP="00B430D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Discipline Committee</w:t>
      </w:r>
    </w:p>
    <w:p w:rsidR="00B430DB" w:rsidRPr="00B430DB" w:rsidRDefault="00B430DB" w:rsidP="00B430D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Research and Development Committee</w:t>
      </w:r>
    </w:p>
    <w:p w:rsidR="00B430DB" w:rsidRPr="00B430DB" w:rsidRDefault="00B430DB" w:rsidP="00B430D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Internal Quality Assurance Cell (IQAC)</w:t>
      </w:r>
    </w:p>
    <w:p w:rsidR="00B430DB" w:rsidRPr="00B430DB" w:rsidRDefault="00B430DB" w:rsidP="00B430DB">
      <w:pPr>
        <w:spacing w:after="0" w:line="240" w:lineRule="auto"/>
        <w:rPr>
          <w:rFonts w:eastAsia="Times New Roman" w:cstheme="minorHAnsi"/>
          <w:sz w:val="28"/>
          <w:szCs w:val="24"/>
        </w:rPr>
      </w:pPr>
    </w:p>
    <w:p w:rsidR="00A470C0" w:rsidRDefault="00A470C0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 xml:space="preserve">18. Grievance </w:t>
      </w:r>
      <w:proofErr w:type="spellStart"/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Redressal</w:t>
      </w:r>
      <w:proofErr w:type="spellEnd"/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 xml:space="preserve">The institution maintains a grievance </w:t>
      </w:r>
      <w:proofErr w:type="spellStart"/>
      <w:r w:rsidRPr="00B430DB">
        <w:rPr>
          <w:rFonts w:eastAsia="Times New Roman" w:cstheme="minorHAnsi"/>
          <w:sz w:val="28"/>
          <w:szCs w:val="24"/>
        </w:rPr>
        <w:t>redressal</w:t>
      </w:r>
      <w:proofErr w:type="spellEnd"/>
      <w:r w:rsidRPr="00B430DB">
        <w:rPr>
          <w:rFonts w:eastAsia="Times New Roman" w:cstheme="minorHAnsi"/>
          <w:sz w:val="28"/>
          <w:szCs w:val="24"/>
        </w:rPr>
        <w:t xml:space="preserve"> system to address concerns related to academic, administrative, or professional matters.</w:t>
      </w:r>
    </w:p>
    <w:p w:rsidR="00B430DB" w:rsidRDefault="00B430DB" w:rsidP="00FC7D81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Faculty members may submit grievances to the appropriate committee for resolution.</w:t>
      </w:r>
    </w:p>
    <w:p w:rsidR="00A470C0" w:rsidRPr="00FC7D81" w:rsidRDefault="00A470C0" w:rsidP="00FC7D81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19. Discipline and Professional Ethics</w:t>
      </w:r>
    </w:p>
    <w:p w:rsidR="00B430DB" w:rsidRDefault="00B430DB" w:rsidP="00FC7D81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Faculty members must uphold the highest standards of professional ethics and discipline. Any violation of institutional rules may lead to disciplinary action as per institutional policies.</w:t>
      </w:r>
    </w:p>
    <w:p w:rsidR="00A470C0" w:rsidRPr="00B430DB" w:rsidRDefault="00A470C0" w:rsidP="00FC7D81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</w:p>
    <w:p w:rsidR="00B430DB" w:rsidRPr="00B430DB" w:rsidRDefault="00B430DB" w:rsidP="00B430D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kern w:val="36"/>
          <w:sz w:val="52"/>
          <w:szCs w:val="48"/>
        </w:rPr>
      </w:pPr>
      <w:r w:rsidRPr="00B430DB">
        <w:rPr>
          <w:rFonts w:eastAsia="Times New Roman" w:cstheme="minorHAnsi"/>
          <w:b/>
          <w:bCs/>
          <w:kern w:val="36"/>
          <w:sz w:val="52"/>
          <w:szCs w:val="48"/>
        </w:rPr>
        <w:t>20. Conclusion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The Faculty Handbook serves as a guiding document for faculty members of the Academy of Technocrats.</w:t>
      </w:r>
    </w:p>
    <w:p w:rsidR="00B430DB" w:rsidRPr="00B430DB" w:rsidRDefault="00B430DB" w:rsidP="00B430DB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4"/>
        </w:rPr>
      </w:pPr>
      <w:r w:rsidRPr="00B430DB">
        <w:rPr>
          <w:rFonts w:eastAsia="Times New Roman" w:cstheme="minorHAnsi"/>
          <w:sz w:val="28"/>
          <w:szCs w:val="24"/>
        </w:rPr>
        <w:t>It aims to promote a professional academic environment that supports teaching excellence, research innovation, and the holistic development of students.</w:t>
      </w:r>
    </w:p>
    <w:p w:rsidR="0094505A" w:rsidRPr="00FC7D81" w:rsidRDefault="0094505A">
      <w:pPr>
        <w:rPr>
          <w:rFonts w:cstheme="minorHAnsi"/>
          <w:sz w:val="24"/>
        </w:rPr>
      </w:pPr>
    </w:p>
    <w:sectPr w:rsidR="0094505A" w:rsidRPr="00FC7D81" w:rsidSect="00A470C0">
      <w:pgSz w:w="12240" w:h="15840"/>
      <w:pgMar w:top="1440" w:right="1440" w:bottom="1440" w:left="144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E5EDF"/>
    <w:multiLevelType w:val="multilevel"/>
    <w:tmpl w:val="D8002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A37ED8"/>
    <w:multiLevelType w:val="multilevel"/>
    <w:tmpl w:val="EBE20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AB3BA4"/>
    <w:multiLevelType w:val="multilevel"/>
    <w:tmpl w:val="F4564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E2E2F"/>
    <w:multiLevelType w:val="hybridMultilevel"/>
    <w:tmpl w:val="3B1621C6"/>
    <w:lvl w:ilvl="0" w:tplc="F92A7970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637F8E"/>
    <w:multiLevelType w:val="multilevel"/>
    <w:tmpl w:val="9634C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652BC0"/>
    <w:multiLevelType w:val="multilevel"/>
    <w:tmpl w:val="42FE9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3566D5"/>
    <w:multiLevelType w:val="multilevel"/>
    <w:tmpl w:val="7A06D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04A2A22"/>
    <w:multiLevelType w:val="multilevel"/>
    <w:tmpl w:val="11484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AF238A"/>
    <w:multiLevelType w:val="multilevel"/>
    <w:tmpl w:val="39302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8ED7E0D"/>
    <w:multiLevelType w:val="multilevel"/>
    <w:tmpl w:val="334AE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C087992"/>
    <w:multiLevelType w:val="multilevel"/>
    <w:tmpl w:val="38CA1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917521E"/>
    <w:multiLevelType w:val="multilevel"/>
    <w:tmpl w:val="0C705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0234B5B"/>
    <w:multiLevelType w:val="multilevel"/>
    <w:tmpl w:val="4F3E5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1"/>
  </w:num>
  <w:num w:numId="3">
    <w:abstractNumId w:val="10"/>
  </w:num>
  <w:num w:numId="4">
    <w:abstractNumId w:val="7"/>
  </w:num>
  <w:num w:numId="5">
    <w:abstractNumId w:val="8"/>
  </w:num>
  <w:num w:numId="6">
    <w:abstractNumId w:val="0"/>
  </w:num>
  <w:num w:numId="7">
    <w:abstractNumId w:val="5"/>
  </w:num>
  <w:num w:numId="8">
    <w:abstractNumId w:val="6"/>
  </w:num>
  <w:num w:numId="9">
    <w:abstractNumId w:val="4"/>
  </w:num>
  <w:num w:numId="10">
    <w:abstractNumId w:val="9"/>
  </w:num>
  <w:num w:numId="11">
    <w:abstractNumId w:val="12"/>
  </w:num>
  <w:num w:numId="12">
    <w:abstractNumId w:val="1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characterSpacingControl w:val="doNotCompress"/>
  <w:compat/>
  <w:rsids>
    <w:rsidRoot w:val="00B430DB"/>
    <w:rsid w:val="00036B72"/>
    <w:rsid w:val="005B4EA5"/>
    <w:rsid w:val="0094505A"/>
    <w:rsid w:val="00A470C0"/>
    <w:rsid w:val="00B430DB"/>
    <w:rsid w:val="00FC7D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505A"/>
  </w:style>
  <w:style w:type="paragraph" w:styleId="Heading1">
    <w:name w:val="heading 1"/>
    <w:basedOn w:val="Normal"/>
    <w:link w:val="Heading1Char"/>
    <w:uiPriority w:val="9"/>
    <w:qFormat/>
    <w:rsid w:val="00B430D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B430D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30D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B430D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B43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430D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C7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7D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113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859</Words>
  <Characters>4899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Gouro Chandra Padhy</dc:creator>
  <cp:lastModifiedBy>Gouro Chandra Padhy</cp:lastModifiedBy>
  <cp:revision>4</cp:revision>
  <dcterms:created xsi:type="dcterms:W3CDTF">2026-03-06T04:45:00Z</dcterms:created>
  <dcterms:modified xsi:type="dcterms:W3CDTF">2026-03-06T05:21:00Z</dcterms:modified>
</cp:coreProperties>
</file>